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A4" w:rsidRPr="001F1245" w:rsidRDefault="004975A4" w:rsidP="007312E5">
      <w:pPr>
        <w:pStyle w:val="ListParagraph"/>
        <w:numPr>
          <w:ilvl w:val="0"/>
          <w:numId w:val="0"/>
        </w:numPr>
        <w:ind w:left="714"/>
        <w:rPr>
          <w:lang w:val="en-US"/>
        </w:rPr>
      </w:pPr>
      <w:bookmarkStart w:id="0" w:name="_GoBack"/>
      <w:bookmarkEnd w:id="0"/>
      <w:r w:rsidRPr="001F1245">
        <w:rPr>
          <w:lang w:val="en-US"/>
        </w:rPr>
        <w:t>Annex E for QCS</w:t>
      </w:r>
    </w:p>
    <w:p w:rsidR="004975A4" w:rsidRPr="001F1245" w:rsidRDefault="004975A4" w:rsidP="007312E5">
      <w:pPr>
        <w:pStyle w:val="ListParagraph"/>
        <w:numPr>
          <w:ilvl w:val="0"/>
          <w:numId w:val="0"/>
        </w:numPr>
        <w:ind w:left="714"/>
        <w:rPr>
          <w:b/>
          <w:lang w:val="en-US"/>
        </w:rPr>
      </w:pPr>
      <w:r w:rsidRPr="001F1245">
        <w:rPr>
          <w:b/>
          <w:lang w:val="en-US"/>
        </w:rPr>
        <w:t>News template</w:t>
      </w:r>
    </w:p>
    <w:p w:rsidR="004975A4" w:rsidRPr="001F1245" w:rsidRDefault="004975A4" w:rsidP="007312E5">
      <w:pPr>
        <w:pStyle w:val="ListParagraph"/>
        <w:numPr>
          <w:ilvl w:val="0"/>
          <w:numId w:val="0"/>
        </w:numPr>
        <w:ind w:left="714"/>
        <w:rPr>
          <w:lang w:val="en-US"/>
        </w:rPr>
      </w:pPr>
    </w:p>
    <w:p w:rsidR="004975A4" w:rsidRPr="001F1245" w:rsidRDefault="004975A4" w:rsidP="007312E5">
      <w:pPr>
        <w:pStyle w:val="ListParagraph"/>
        <w:numPr>
          <w:ilvl w:val="0"/>
          <w:numId w:val="0"/>
        </w:numPr>
        <w:ind w:left="714"/>
        <w:rPr>
          <w:lang w:val="en-US"/>
        </w:rPr>
      </w:pPr>
      <w:r w:rsidRPr="001F1245">
        <w:rPr>
          <w:lang w:val="en-US"/>
        </w:rPr>
        <w:t xml:space="preserve">Annex E – </w:t>
      </w:r>
      <w:r>
        <w:rPr>
          <w:lang w:val="en-US"/>
        </w:rPr>
        <w:t xml:space="preserve">the </w:t>
      </w:r>
      <w:r w:rsidRPr="001F1245">
        <w:rPr>
          <w:b/>
          <w:lang w:val="en-US"/>
        </w:rPr>
        <w:t>News template</w:t>
      </w:r>
      <w:r w:rsidRPr="001F1245">
        <w:rPr>
          <w:lang w:val="en-US"/>
        </w:rPr>
        <w:t xml:space="preserve"> will be used for collecting and creating cumulative evidence on qualitative and quantitative dissemination reporting in magazines, journals, social media, at </w:t>
      </w:r>
      <w:r>
        <w:rPr>
          <w:lang w:val="en-US"/>
        </w:rPr>
        <w:t xml:space="preserve">the </w:t>
      </w:r>
      <w:r w:rsidRPr="001F1245">
        <w:rPr>
          <w:lang w:val="en-US"/>
        </w:rPr>
        <w:t xml:space="preserve">associate partners’ </w:t>
      </w:r>
      <w:proofErr w:type="spellStart"/>
      <w:r w:rsidRPr="001F1245">
        <w:rPr>
          <w:lang w:val="en-US"/>
        </w:rPr>
        <w:t>webpages</w:t>
      </w:r>
      <w:proofErr w:type="spellEnd"/>
      <w:r w:rsidRPr="001F1245">
        <w:rPr>
          <w:lang w:val="en-US"/>
        </w:rPr>
        <w:t>, at ex</w:t>
      </w:r>
      <w:r>
        <w:rPr>
          <w:lang w:val="en-US"/>
        </w:rPr>
        <w:t>p</w:t>
      </w:r>
      <w:r w:rsidRPr="001F1245">
        <w:rPr>
          <w:lang w:val="en-US"/>
        </w:rPr>
        <w:t>ert associations</w:t>
      </w:r>
      <w:r>
        <w:rPr>
          <w:lang w:val="en-US"/>
        </w:rPr>
        <w:t>’</w:t>
      </w:r>
      <w:r w:rsidRPr="001F1245">
        <w:rPr>
          <w:lang w:val="en-US"/>
        </w:rPr>
        <w:t xml:space="preserve"> web pages. It will</w:t>
      </w:r>
      <w:r w:rsidRPr="007312E5">
        <w:rPr>
          <w:lang w:val="en-US"/>
        </w:rPr>
        <w:t xml:space="preserve"> </w:t>
      </w:r>
      <w:r w:rsidRPr="001F1245">
        <w:rPr>
          <w:lang w:val="en-US"/>
        </w:rPr>
        <w:t xml:space="preserve">also be used for collecting evidence on events which will be organized </w:t>
      </w:r>
      <w:r>
        <w:rPr>
          <w:lang w:val="en-US"/>
        </w:rPr>
        <w:t>throughout the</w:t>
      </w:r>
      <w:r w:rsidRPr="001F1245">
        <w:rPr>
          <w:lang w:val="en-US"/>
        </w:rPr>
        <w:t xml:space="preserve"> </w:t>
      </w:r>
      <w:r>
        <w:rPr>
          <w:lang w:val="en-US"/>
        </w:rPr>
        <w:t>LAWGEM</w:t>
      </w:r>
      <w:r w:rsidRPr="001F1245">
        <w:rPr>
          <w:lang w:val="en-US"/>
        </w:rPr>
        <w:t xml:space="preserve"> Project duration, which are similar, complementary, or directly linked to LAWGEM. </w:t>
      </w:r>
      <w:r w:rsidRPr="001F1245">
        <w:rPr>
          <w:rFonts w:cs="Calibri"/>
          <w:lang w:val="en-US"/>
        </w:rPr>
        <w:t xml:space="preserve"> </w:t>
      </w:r>
    </w:p>
    <w:p w:rsidR="004975A4" w:rsidRPr="001F1245" w:rsidRDefault="004975A4" w:rsidP="007312E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1F1245">
        <w:rPr>
          <w:rFonts w:cs="Calibri"/>
          <w:b/>
          <w:lang w:val="en-US"/>
        </w:rPr>
        <w:t>Quantita</w:t>
      </w:r>
      <w:r>
        <w:rPr>
          <w:rFonts w:cs="Calibri"/>
          <w:b/>
          <w:lang w:val="en-US"/>
        </w:rPr>
        <w:t>t</w:t>
      </w:r>
      <w:r w:rsidRPr="001F1245">
        <w:rPr>
          <w:rFonts w:cs="Calibri"/>
          <w:b/>
          <w:lang w:val="en-US"/>
        </w:rPr>
        <w:t>ive indicators</w:t>
      </w:r>
      <w:r w:rsidRPr="001F1245">
        <w:rPr>
          <w:rFonts w:cs="Calibri"/>
          <w:lang w:val="en-US"/>
        </w:rPr>
        <w:t>:</w:t>
      </w:r>
    </w:p>
    <w:p w:rsidR="004975A4" w:rsidRPr="001F1245" w:rsidRDefault="004975A4" w:rsidP="007312E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1F1245">
        <w:rPr>
          <w:rFonts w:cs="Calibri"/>
          <w:lang w:val="en-US"/>
        </w:rPr>
        <w:t>Number of reports -</w:t>
      </w:r>
    </w:p>
    <w:p w:rsidR="004975A4" w:rsidRPr="001F1245" w:rsidRDefault="004975A4" w:rsidP="007312E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1F1245">
        <w:rPr>
          <w:rFonts w:cs="Calibri"/>
          <w:lang w:val="en-US"/>
        </w:rPr>
        <w:t xml:space="preserve">Number of mentions -  </w:t>
      </w:r>
    </w:p>
    <w:p w:rsidR="004975A4" w:rsidRPr="001F1245" w:rsidRDefault="004975A4" w:rsidP="007312E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1F1245">
        <w:rPr>
          <w:rFonts w:cs="Calibri"/>
          <w:lang w:val="en-US"/>
        </w:rPr>
        <w:t xml:space="preserve">Number of likes </w:t>
      </w:r>
      <w:r>
        <w:rPr>
          <w:rFonts w:cs="Calibri"/>
          <w:lang w:val="en-US"/>
        </w:rPr>
        <w:t>on</w:t>
      </w:r>
      <w:r w:rsidRPr="001F1245">
        <w:rPr>
          <w:rFonts w:cs="Calibri"/>
          <w:lang w:val="en-US"/>
        </w:rPr>
        <w:t xml:space="preserve"> </w:t>
      </w:r>
      <w:proofErr w:type="spellStart"/>
      <w:r w:rsidRPr="001F1245">
        <w:rPr>
          <w:rFonts w:cs="Calibri"/>
          <w:lang w:val="en-US"/>
        </w:rPr>
        <w:t>Facebook</w:t>
      </w:r>
      <w:proofErr w:type="spellEnd"/>
      <w:r w:rsidRPr="001F1245">
        <w:rPr>
          <w:rFonts w:cs="Calibri"/>
          <w:lang w:val="en-US"/>
        </w:rPr>
        <w:t xml:space="preserve"> and other social media - </w:t>
      </w:r>
    </w:p>
    <w:p w:rsidR="004975A4" w:rsidRPr="001F1245" w:rsidRDefault="004975A4" w:rsidP="007312E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1F1245">
        <w:rPr>
          <w:rFonts w:cs="Calibri"/>
          <w:lang w:val="en-US"/>
        </w:rPr>
        <w:t xml:space="preserve">Number of videos - </w:t>
      </w:r>
    </w:p>
    <w:p w:rsidR="004975A4" w:rsidRPr="001F1245" w:rsidRDefault="004975A4" w:rsidP="007312E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1F1245">
        <w:rPr>
          <w:rFonts w:cs="Calibri"/>
          <w:lang w:val="en-US"/>
        </w:rPr>
        <w:t xml:space="preserve">  </w:t>
      </w:r>
    </w:p>
    <w:p w:rsidR="004975A4" w:rsidRPr="001F1245" w:rsidRDefault="004975A4" w:rsidP="007312E5">
      <w:pPr>
        <w:pStyle w:val="ListParagraph"/>
        <w:numPr>
          <w:ilvl w:val="0"/>
          <w:numId w:val="0"/>
        </w:numPr>
        <w:ind w:left="714"/>
        <w:rPr>
          <w:rFonts w:cs="Calibri"/>
          <w:b/>
          <w:lang w:val="en-US"/>
        </w:rPr>
      </w:pPr>
      <w:r w:rsidRPr="001F1245">
        <w:rPr>
          <w:rFonts w:cs="Calibri"/>
          <w:b/>
          <w:lang w:val="en-US"/>
        </w:rPr>
        <w:t xml:space="preserve">Qualitative indicators - </w:t>
      </w:r>
      <w:r w:rsidRPr="001F1245">
        <w:rPr>
          <w:rFonts w:cs="Calibri"/>
          <w:lang w:val="en-US"/>
        </w:rPr>
        <w:t>Substantial analysis which appeared in:</w:t>
      </w:r>
    </w:p>
    <w:p w:rsidR="004975A4" w:rsidRPr="001F1245" w:rsidRDefault="004975A4" w:rsidP="007312E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1F1245">
        <w:rPr>
          <w:rFonts w:cs="Calibri"/>
          <w:lang w:val="en-US"/>
        </w:rPr>
        <w:t>Referential news magazines and academic journals -</w:t>
      </w:r>
    </w:p>
    <w:p w:rsidR="004975A4" w:rsidRPr="001F1245" w:rsidRDefault="004975A4" w:rsidP="007312E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1F1245">
        <w:rPr>
          <w:rFonts w:cs="Calibri"/>
          <w:lang w:val="en-US"/>
        </w:rPr>
        <w:t xml:space="preserve">Academic reviews on LAWGEM </w:t>
      </w:r>
      <w:proofErr w:type="spellStart"/>
      <w:r w:rsidRPr="001F1245">
        <w:rPr>
          <w:rFonts w:cs="Calibri"/>
          <w:lang w:val="en-US"/>
        </w:rPr>
        <w:t>intelectual</w:t>
      </w:r>
      <w:proofErr w:type="spellEnd"/>
      <w:r w:rsidRPr="001F1245">
        <w:rPr>
          <w:rFonts w:cs="Calibri"/>
          <w:lang w:val="en-US"/>
        </w:rPr>
        <w:t xml:space="preserve"> outputs and especially the Textbook and its chapters New academic articles of LAWGEM team members related to the LAWGEM ideas and aims -  </w:t>
      </w:r>
    </w:p>
    <w:p w:rsidR="004975A4" w:rsidRPr="001F1245" w:rsidRDefault="004975A4" w:rsidP="007312E5">
      <w:pPr>
        <w:pStyle w:val="ListParagraph"/>
        <w:numPr>
          <w:ilvl w:val="0"/>
          <w:numId w:val="0"/>
        </w:numPr>
        <w:ind w:left="714"/>
        <w:rPr>
          <w:rFonts w:cs="Calibri"/>
          <w:lang w:val="en-US"/>
        </w:rPr>
      </w:pPr>
      <w:r w:rsidRPr="001F1245">
        <w:rPr>
          <w:rFonts w:cs="Calibri"/>
          <w:lang w:val="en-US"/>
        </w:rPr>
        <w:t xml:space="preserve">Conferences linked to LAWGEM content, organized and/or </w:t>
      </w:r>
      <w:proofErr w:type="spellStart"/>
      <w:r w:rsidRPr="001F1245">
        <w:rPr>
          <w:rFonts w:cs="Calibri"/>
          <w:lang w:val="en-US"/>
        </w:rPr>
        <w:t>atended</w:t>
      </w:r>
      <w:proofErr w:type="spellEnd"/>
      <w:r w:rsidRPr="001F1245">
        <w:rPr>
          <w:rFonts w:cs="Calibri"/>
          <w:lang w:val="en-US"/>
        </w:rPr>
        <w:t xml:space="preserve"> by LAWGEM team members </w:t>
      </w:r>
      <w:r>
        <w:rPr>
          <w:rFonts w:cs="Calibri"/>
          <w:lang w:val="en-US"/>
        </w:rPr>
        <w:t>-</w:t>
      </w:r>
    </w:p>
    <w:p w:rsidR="004975A4" w:rsidRPr="001F1245" w:rsidRDefault="004975A4" w:rsidP="007312E5">
      <w:pPr>
        <w:pStyle w:val="ListParagraph"/>
        <w:numPr>
          <w:ilvl w:val="0"/>
          <w:numId w:val="0"/>
        </w:numPr>
        <w:ind w:left="714"/>
        <w:rPr>
          <w:lang w:val="en-US"/>
        </w:rPr>
      </w:pPr>
      <w:r w:rsidRPr="001F1245">
        <w:rPr>
          <w:rFonts w:cs="Calibri"/>
          <w:lang w:val="en-US"/>
        </w:rPr>
        <w:t>Conferences reported by LAWGEM team members in a way which promotes LAWGEM</w:t>
      </w:r>
      <w:r>
        <w:rPr>
          <w:rFonts w:cs="Calibri"/>
          <w:lang w:val="en-US"/>
        </w:rPr>
        <w:t>’s</w:t>
      </w:r>
      <w:r w:rsidRPr="001F1245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key</w:t>
      </w:r>
      <w:r w:rsidRPr="001F1245">
        <w:rPr>
          <w:rFonts w:cs="Calibri"/>
          <w:lang w:val="en-US"/>
        </w:rPr>
        <w:t xml:space="preserve"> ideas and aims -</w:t>
      </w:r>
    </w:p>
    <w:p w:rsidR="004975A4" w:rsidRPr="007312E5" w:rsidRDefault="004975A4" w:rsidP="007312E5">
      <w:pPr>
        <w:ind w:left="714"/>
        <w:jc w:val="both"/>
        <w:rPr>
          <w:lang w:val="en-US"/>
        </w:rPr>
      </w:pPr>
      <w:r w:rsidRPr="007312E5">
        <w:rPr>
          <w:lang w:val="en-US"/>
        </w:rPr>
        <w:t>Substantial reviews of LAWGEM events and intellectual outputs by LAWGEM associate partners     or other stakeholders -</w:t>
      </w: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ascii="Cambria-Italic" w:hAnsi="Cambria-Italic"/>
          <w:iCs/>
          <w:color w:val="0070C1"/>
          <w:sz w:val="20"/>
          <w:szCs w:val="20"/>
          <w:lang w:val="en-US"/>
        </w:rPr>
      </w:pPr>
    </w:p>
    <w:p w:rsidR="004975A4" w:rsidRPr="007312E5" w:rsidRDefault="004975A4" w:rsidP="00ED14B9">
      <w:pPr>
        <w:autoSpaceDE w:val="0"/>
        <w:autoSpaceDN w:val="0"/>
        <w:rPr>
          <w:rFonts w:cs="Calibri"/>
          <w:iCs/>
          <w:color w:val="0070C1"/>
          <w:sz w:val="20"/>
          <w:szCs w:val="20"/>
          <w:lang w:val="en-US"/>
        </w:rPr>
      </w:pPr>
      <w:r w:rsidRPr="007312E5">
        <w:rPr>
          <w:rFonts w:cs="Calibri"/>
          <w:iCs/>
          <w:color w:val="0070C1"/>
          <w:sz w:val="20"/>
          <w:szCs w:val="20"/>
          <w:lang w:val="en-US"/>
        </w:rPr>
        <w:t>DISCLAIMER - This project is co-funded by the European Commission. This publication [communication] reflects the views only of the author, and the Commission cannot be held responsible for any use which may be made of the information contained therein.</w:t>
      </w:r>
    </w:p>
    <w:p w:rsidR="004975A4" w:rsidRDefault="004975A4" w:rsidP="009A5923">
      <w:pPr>
        <w:jc w:val="both"/>
        <w:rPr>
          <w:sz w:val="24"/>
          <w:szCs w:val="24"/>
          <w:lang w:val="en-GB"/>
        </w:rPr>
      </w:pPr>
    </w:p>
    <w:p w:rsidR="004975A4" w:rsidRPr="00031F2C" w:rsidRDefault="004975A4" w:rsidP="009A5923">
      <w:pPr>
        <w:jc w:val="both"/>
        <w:rPr>
          <w:sz w:val="24"/>
          <w:szCs w:val="24"/>
          <w:lang w:val="en-GB"/>
        </w:rPr>
      </w:pPr>
    </w:p>
    <w:sectPr w:rsidR="004975A4" w:rsidRPr="00031F2C" w:rsidSect="00AF2A7A">
      <w:headerReference w:type="default" r:id="rId7"/>
      <w:footerReference w:type="default" r:id="rId8"/>
      <w:pgSz w:w="11906" w:h="16838" w:code="9"/>
      <w:pgMar w:top="1440" w:right="1191" w:bottom="1418" w:left="1191" w:header="227" w:footer="5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758" w:rsidRDefault="00670758" w:rsidP="004C316B">
      <w:pPr>
        <w:spacing w:after="0" w:line="240" w:lineRule="auto"/>
      </w:pPr>
      <w:r>
        <w:separator/>
      </w:r>
    </w:p>
  </w:endnote>
  <w:endnote w:type="continuationSeparator" w:id="0">
    <w:p w:rsidR="00670758" w:rsidRDefault="00670758" w:rsidP="004C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A4" w:rsidRPr="00031F2C" w:rsidRDefault="004975A4" w:rsidP="00AF100E">
    <w:pPr>
      <w:pStyle w:val="Footer"/>
      <w:pBdr>
        <w:top w:val="single" w:sz="4" w:space="1" w:color="7F7F7F"/>
      </w:pBdr>
      <w:spacing w:line="276" w:lineRule="auto"/>
      <w:jc w:val="center"/>
      <w:rPr>
        <w:rFonts w:ascii="Arial Narrow" w:hAnsi="Arial Narrow"/>
        <w:sz w:val="18"/>
        <w:szCs w:val="18"/>
        <w:lang w:val="en-US"/>
      </w:rPr>
    </w:pPr>
    <w:r w:rsidRPr="00031F2C">
      <w:rPr>
        <w:rFonts w:ascii="Arial Narrow" w:hAnsi="Arial Narrow" w:cs="Helvetica"/>
        <w:color w:val="000000"/>
        <w:sz w:val="18"/>
        <w:szCs w:val="18"/>
        <w:shd w:val="clear" w:color="auto" w:fill="FFFFFF"/>
        <w:lang w:val="en-US"/>
      </w:rPr>
      <w:t>Erasmus Plus KA203 projects – Strategic Partnership in Higher Education</w:t>
    </w:r>
  </w:p>
  <w:p w:rsidR="004975A4" w:rsidRPr="00031F2C" w:rsidRDefault="004975A4" w:rsidP="00AF100E">
    <w:pPr>
      <w:pStyle w:val="Footer"/>
      <w:pBdr>
        <w:top w:val="single" w:sz="4" w:space="1" w:color="7F7F7F"/>
      </w:pBdr>
      <w:spacing w:line="276" w:lineRule="auto"/>
      <w:jc w:val="center"/>
      <w:rPr>
        <w:lang w:val="en-US"/>
      </w:rPr>
    </w:pPr>
    <w:r w:rsidRPr="00031F2C">
      <w:rPr>
        <w:rFonts w:ascii="Arial Narrow" w:hAnsi="Arial Narrow"/>
        <w:i/>
        <w:iCs/>
        <w:sz w:val="18"/>
        <w:szCs w:val="18"/>
        <w:lang w:val="en-US"/>
      </w:rPr>
      <w:t xml:space="preserve">New Quality in Education for Gender Equality – Strategic Partnership for the Development of Master`s Study </w:t>
    </w:r>
    <w:proofErr w:type="spellStart"/>
    <w:r w:rsidRPr="00031F2C">
      <w:rPr>
        <w:rFonts w:ascii="Arial Narrow" w:hAnsi="Arial Narrow"/>
        <w:i/>
        <w:iCs/>
        <w:sz w:val="18"/>
        <w:szCs w:val="18"/>
        <w:lang w:val="en-US"/>
      </w:rPr>
      <w:t>programme</w:t>
    </w:r>
    <w:proofErr w:type="spellEnd"/>
    <w:r w:rsidRPr="00031F2C">
      <w:rPr>
        <w:rFonts w:ascii="Arial Narrow" w:hAnsi="Arial Narrow"/>
        <w:i/>
        <w:iCs/>
        <w:sz w:val="18"/>
        <w:szCs w:val="18"/>
        <w:lang w:val="en-US"/>
      </w:rPr>
      <w:t xml:space="preserve"> Law and Gender</w:t>
    </w:r>
    <w:r w:rsidRPr="00031F2C">
      <w:rPr>
        <w:rFonts w:ascii="Arial Narrow" w:hAnsi="Arial Narrow"/>
        <w:i/>
        <w:iCs/>
        <w:sz w:val="18"/>
        <w:szCs w:val="18"/>
        <w:lang w:val="en-US"/>
      </w:rPr>
      <w:br/>
    </w:r>
    <w:proofErr w:type="spellStart"/>
    <w:r w:rsidRPr="00031F2C">
      <w:rPr>
        <w:rFonts w:ascii="Arial Narrow" w:hAnsi="Arial Narrow"/>
        <w:i/>
        <w:iCs/>
        <w:sz w:val="18"/>
        <w:szCs w:val="18"/>
        <w:lang w:val="en-US"/>
      </w:rPr>
      <w:t>lawgem.ius.bg.ac.rs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758" w:rsidRDefault="00670758" w:rsidP="004C316B">
      <w:pPr>
        <w:spacing w:after="0" w:line="240" w:lineRule="auto"/>
      </w:pPr>
      <w:r>
        <w:separator/>
      </w:r>
    </w:p>
  </w:footnote>
  <w:footnote w:type="continuationSeparator" w:id="0">
    <w:p w:rsidR="00670758" w:rsidRDefault="00670758" w:rsidP="004C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A4" w:rsidRDefault="004975A4" w:rsidP="00EC49E1">
    <w:pPr>
      <w:pStyle w:val="Header"/>
      <w:pBdr>
        <w:bottom w:val="single" w:sz="4" w:space="1" w:color="7F7F7F"/>
      </w:pBdr>
      <w:tabs>
        <w:tab w:val="clear" w:pos="4513"/>
        <w:tab w:val="clear" w:pos="9026"/>
        <w:tab w:val="left" w:pos="709"/>
        <w:tab w:val="right" w:pos="9498"/>
      </w:tabs>
    </w:pPr>
    <w:r>
      <w:tab/>
    </w:r>
    <w:r w:rsidR="0078401F">
      <w:rPr>
        <w:noProof/>
        <w:lang w:val="en-US"/>
      </w:rPr>
      <w:drawing>
        <wp:inline distT="0" distB="0" distL="0" distR="0">
          <wp:extent cx="1022350" cy="495300"/>
          <wp:effectExtent l="0" t="0" r="6350" b="0"/>
          <wp:docPr id="1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78401F">
      <w:rPr>
        <w:noProof/>
        <w:lang w:val="en-US"/>
      </w:rPr>
      <w:drawing>
        <wp:inline distT="0" distB="0" distL="0" distR="0">
          <wp:extent cx="1746250" cy="361950"/>
          <wp:effectExtent l="0" t="0" r="6350" b="0"/>
          <wp:docPr id="2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A0D1F"/>
    <w:multiLevelType w:val="hybridMultilevel"/>
    <w:tmpl w:val="E5D4A216"/>
    <w:lvl w:ilvl="0" w:tplc="A224AF5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316B"/>
    <w:rsid w:val="00031F2C"/>
    <w:rsid w:val="000C1196"/>
    <w:rsid w:val="000D150A"/>
    <w:rsid w:val="0014270B"/>
    <w:rsid w:val="001F1245"/>
    <w:rsid w:val="00454A48"/>
    <w:rsid w:val="00490CE8"/>
    <w:rsid w:val="004975A4"/>
    <w:rsid w:val="004C316B"/>
    <w:rsid w:val="004E0E9C"/>
    <w:rsid w:val="00534DC0"/>
    <w:rsid w:val="005473B5"/>
    <w:rsid w:val="00581E10"/>
    <w:rsid w:val="005B057C"/>
    <w:rsid w:val="005B3E8B"/>
    <w:rsid w:val="005E6EF5"/>
    <w:rsid w:val="005F4790"/>
    <w:rsid w:val="00670758"/>
    <w:rsid w:val="00674123"/>
    <w:rsid w:val="006B1AAD"/>
    <w:rsid w:val="007312E5"/>
    <w:rsid w:val="0078401F"/>
    <w:rsid w:val="007907EF"/>
    <w:rsid w:val="008215FD"/>
    <w:rsid w:val="008226DC"/>
    <w:rsid w:val="00891450"/>
    <w:rsid w:val="0089434F"/>
    <w:rsid w:val="008F5B19"/>
    <w:rsid w:val="009031FC"/>
    <w:rsid w:val="0096547D"/>
    <w:rsid w:val="009A5923"/>
    <w:rsid w:val="009C5AA4"/>
    <w:rsid w:val="00A34CA9"/>
    <w:rsid w:val="00A35BE4"/>
    <w:rsid w:val="00A5738D"/>
    <w:rsid w:val="00A87849"/>
    <w:rsid w:val="00AE3D2F"/>
    <w:rsid w:val="00AF100E"/>
    <w:rsid w:val="00AF2A7A"/>
    <w:rsid w:val="00B15FC7"/>
    <w:rsid w:val="00B31C7F"/>
    <w:rsid w:val="00BA6F03"/>
    <w:rsid w:val="00C21773"/>
    <w:rsid w:val="00C80CF7"/>
    <w:rsid w:val="00CA0986"/>
    <w:rsid w:val="00CF1512"/>
    <w:rsid w:val="00D2324D"/>
    <w:rsid w:val="00D33C22"/>
    <w:rsid w:val="00DC6777"/>
    <w:rsid w:val="00E2554E"/>
    <w:rsid w:val="00EC49E1"/>
    <w:rsid w:val="00ED14B9"/>
    <w:rsid w:val="00ED7674"/>
    <w:rsid w:val="00EE7400"/>
    <w:rsid w:val="00F11126"/>
    <w:rsid w:val="00F2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4D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31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316B"/>
    <w:rPr>
      <w:rFonts w:cs="Times New Roman"/>
    </w:rPr>
  </w:style>
  <w:style w:type="character" w:styleId="Strong">
    <w:name w:val="Strong"/>
    <w:basedOn w:val="DefaultParagraphFont"/>
    <w:uiPriority w:val="99"/>
    <w:qFormat/>
    <w:rsid w:val="00AF100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4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7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E3D2F"/>
    <w:pPr>
      <w:numPr>
        <w:numId w:val="1"/>
      </w:numPr>
      <w:spacing w:after="60" w:line="276" w:lineRule="auto"/>
      <w:ind w:left="714" w:hanging="35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4D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31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316B"/>
    <w:rPr>
      <w:rFonts w:cs="Times New Roman"/>
    </w:rPr>
  </w:style>
  <w:style w:type="character" w:styleId="Strong">
    <w:name w:val="Strong"/>
    <w:basedOn w:val="DefaultParagraphFont"/>
    <w:uiPriority w:val="99"/>
    <w:qFormat/>
    <w:rsid w:val="00AF100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4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7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E3D2F"/>
    <w:pPr>
      <w:numPr>
        <w:numId w:val="1"/>
      </w:numPr>
      <w:spacing w:after="60" w:line="276" w:lineRule="auto"/>
      <w:ind w:left="714" w:hanging="35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E for QCS</vt:lpstr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E for QCS</dc:title>
  <dc:creator>Petar Pavlovic</dc:creator>
  <cp:lastModifiedBy>Dragica</cp:lastModifiedBy>
  <cp:revision>2</cp:revision>
  <dcterms:created xsi:type="dcterms:W3CDTF">2020-02-25T13:10:00Z</dcterms:created>
  <dcterms:modified xsi:type="dcterms:W3CDTF">2020-02-25T13:10:00Z</dcterms:modified>
</cp:coreProperties>
</file>